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E79BD" w14:textId="77777777" w:rsidR="00C64B1B" w:rsidRDefault="00C64B1B" w:rsidP="00C64B1B">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4678"/>
        <w:gridCol w:w="5812"/>
        <w:gridCol w:w="1359"/>
      </w:tblGrid>
      <w:tr w:rsidR="00A06425" w:rsidRPr="00A06425" w14:paraId="1B6C2F38" w14:textId="77777777" w:rsidTr="00A06425">
        <w:tc>
          <w:tcPr>
            <w:tcW w:w="15388" w:type="dxa"/>
            <w:gridSpan w:val="6"/>
            <w:vAlign w:val="center"/>
          </w:tcPr>
          <w:p w14:paraId="5E87CF09" w14:textId="77777777" w:rsidR="004C6E46" w:rsidRDefault="00A06425" w:rsidP="004C6E46">
            <w:pPr>
              <w:spacing w:line="276" w:lineRule="auto"/>
              <w:rPr>
                <w:rFonts w:asciiTheme="minorHAnsi" w:hAnsiTheme="minorHAnsi" w:cstheme="minorHAnsi"/>
                <w:b/>
                <w:i/>
                <w:sz w:val="22"/>
                <w:szCs w:val="22"/>
              </w:rPr>
            </w:pPr>
            <w:r w:rsidRPr="00A06425">
              <w:rPr>
                <w:rFonts w:asciiTheme="minorHAnsi" w:hAnsiTheme="minorHAnsi" w:cstheme="minorHAnsi"/>
                <w:b/>
                <w:i/>
                <w:sz w:val="22"/>
                <w:szCs w:val="22"/>
              </w:rPr>
              <w:t>Nazwa dokumentu:</w:t>
            </w:r>
          </w:p>
          <w:p w14:paraId="297227C3" w14:textId="1B1E8701" w:rsidR="00A06425" w:rsidRPr="00A06425" w:rsidRDefault="008F2FC2" w:rsidP="004C6E46">
            <w:pPr>
              <w:spacing w:line="276" w:lineRule="auto"/>
              <w:rPr>
                <w:rFonts w:asciiTheme="minorHAnsi" w:hAnsiTheme="minorHAnsi" w:cstheme="minorHAnsi"/>
                <w:b/>
                <w:i/>
                <w:sz w:val="22"/>
                <w:szCs w:val="22"/>
              </w:rPr>
            </w:pPr>
            <w:r>
              <w:rPr>
                <w:rFonts w:asciiTheme="minorHAnsi" w:hAnsiTheme="minorHAnsi" w:cstheme="minorHAnsi"/>
                <w:b/>
                <w:i/>
                <w:sz w:val="22"/>
                <w:szCs w:val="22"/>
              </w:rPr>
              <w:t xml:space="preserve"> </w:t>
            </w:r>
            <w:r w:rsidRPr="008F2FC2">
              <w:rPr>
                <w:b/>
                <w:bCs/>
              </w:rPr>
              <w:t>„DELICT - System Obsługi Spraw Dyscyplinarnych Adwokatury”</w:t>
            </w:r>
            <w:r w:rsidRPr="00203DC3">
              <w:rPr>
                <w:b/>
                <w:bCs/>
              </w:rPr>
              <w:t xml:space="preserve"> </w:t>
            </w:r>
            <w:r w:rsidRPr="00203DC3">
              <w:t>– wnioskodawca: Prezes Naczelnej Rady Adwokackiej, beneficjent: Naczelna Rada Adwokacka;</w:t>
            </w:r>
          </w:p>
        </w:tc>
      </w:tr>
      <w:tr w:rsidR="00A06425" w:rsidRPr="00A06425" w14:paraId="7B98442B" w14:textId="77777777" w:rsidTr="00A06425">
        <w:tc>
          <w:tcPr>
            <w:tcW w:w="562" w:type="dxa"/>
            <w:vAlign w:val="center"/>
          </w:tcPr>
          <w:p w14:paraId="205C46D8" w14:textId="77777777" w:rsidR="00A06425" w:rsidRPr="00A06425" w:rsidRDefault="00A06425" w:rsidP="004D086F">
            <w:pPr>
              <w:jc w:val="center"/>
              <w:rPr>
                <w:rFonts w:asciiTheme="minorHAnsi" w:hAnsiTheme="minorHAnsi" w:cstheme="minorHAnsi"/>
                <w:b/>
                <w:sz w:val="22"/>
                <w:szCs w:val="22"/>
              </w:rPr>
            </w:pPr>
            <w:r>
              <w:rPr>
                <w:rFonts w:asciiTheme="minorHAnsi" w:hAnsiTheme="minorHAnsi" w:cstheme="minorHAnsi"/>
                <w:b/>
                <w:sz w:val="22"/>
                <w:szCs w:val="22"/>
              </w:rPr>
              <w:t>L</w:t>
            </w:r>
            <w:r w:rsidRPr="00A06425">
              <w:rPr>
                <w:rFonts w:asciiTheme="minorHAnsi" w:hAnsiTheme="minorHAnsi" w:cstheme="minorHAnsi"/>
                <w:b/>
                <w:sz w:val="22"/>
                <w:szCs w:val="22"/>
              </w:rPr>
              <w:t>p.</w:t>
            </w:r>
          </w:p>
        </w:tc>
        <w:tc>
          <w:tcPr>
            <w:tcW w:w="1134" w:type="dxa"/>
            <w:vAlign w:val="center"/>
          </w:tcPr>
          <w:p w14:paraId="0F169B99"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Organ wnoszący uwagi</w:t>
            </w:r>
          </w:p>
        </w:tc>
        <w:tc>
          <w:tcPr>
            <w:tcW w:w="1843" w:type="dxa"/>
            <w:vAlign w:val="center"/>
          </w:tcPr>
          <w:p w14:paraId="715BE8DD"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Jednostka redakcyjna, do której wnoszone są uwagi</w:t>
            </w:r>
          </w:p>
        </w:tc>
        <w:tc>
          <w:tcPr>
            <w:tcW w:w="4678" w:type="dxa"/>
            <w:vAlign w:val="center"/>
          </w:tcPr>
          <w:p w14:paraId="6E014D89"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Treść uwagi</w:t>
            </w:r>
          </w:p>
        </w:tc>
        <w:tc>
          <w:tcPr>
            <w:tcW w:w="5812" w:type="dxa"/>
            <w:vAlign w:val="center"/>
          </w:tcPr>
          <w:p w14:paraId="4308664C"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Propozycja zmian zapisu</w:t>
            </w:r>
          </w:p>
        </w:tc>
        <w:tc>
          <w:tcPr>
            <w:tcW w:w="1359" w:type="dxa"/>
            <w:vAlign w:val="center"/>
          </w:tcPr>
          <w:p w14:paraId="3449503F" w14:textId="77777777" w:rsidR="00A06425" w:rsidRPr="00A06425" w:rsidRDefault="00A06425" w:rsidP="00A06425">
            <w:pPr>
              <w:jc w:val="center"/>
              <w:rPr>
                <w:rFonts w:asciiTheme="minorHAnsi" w:hAnsiTheme="minorHAnsi" w:cstheme="minorHAnsi"/>
                <w:b/>
                <w:sz w:val="22"/>
                <w:szCs w:val="22"/>
              </w:rPr>
            </w:pPr>
            <w:r w:rsidRPr="00A06425">
              <w:rPr>
                <w:rFonts w:asciiTheme="minorHAnsi" w:hAnsiTheme="minorHAnsi" w:cstheme="minorHAnsi"/>
                <w:b/>
                <w:sz w:val="22"/>
                <w:szCs w:val="22"/>
              </w:rPr>
              <w:t>Odniesienie do uwagi</w:t>
            </w:r>
          </w:p>
        </w:tc>
      </w:tr>
      <w:tr w:rsidR="00A06425" w:rsidRPr="00A06425" w14:paraId="2F66F5CB" w14:textId="77777777" w:rsidTr="00A06425">
        <w:tc>
          <w:tcPr>
            <w:tcW w:w="562" w:type="dxa"/>
          </w:tcPr>
          <w:p w14:paraId="1B7C2A2C" w14:textId="77777777" w:rsidR="00A06425" w:rsidRPr="00A06425" w:rsidRDefault="00A06425" w:rsidP="00A06425">
            <w:pPr>
              <w:spacing w:before="120" w:after="120"/>
              <w:jc w:val="center"/>
              <w:rPr>
                <w:rFonts w:asciiTheme="minorHAnsi" w:hAnsiTheme="minorHAnsi" w:cstheme="minorHAnsi"/>
                <w:b/>
                <w:sz w:val="22"/>
                <w:szCs w:val="22"/>
              </w:rPr>
            </w:pPr>
            <w:r w:rsidRPr="00A06425">
              <w:rPr>
                <w:rFonts w:asciiTheme="minorHAnsi" w:hAnsiTheme="minorHAnsi" w:cstheme="minorHAnsi"/>
                <w:b/>
                <w:sz w:val="22"/>
                <w:szCs w:val="22"/>
              </w:rPr>
              <w:t>1</w:t>
            </w:r>
          </w:p>
        </w:tc>
        <w:tc>
          <w:tcPr>
            <w:tcW w:w="1134" w:type="dxa"/>
          </w:tcPr>
          <w:p w14:paraId="056A99E7" w14:textId="56520B7F" w:rsidR="00A06425" w:rsidRPr="00A06425" w:rsidRDefault="003B28DE"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MSWiA</w:t>
            </w:r>
          </w:p>
        </w:tc>
        <w:tc>
          <w:tcPr>
            <w:tcW w:w="1843" w:type="dxa"/>
          </w:tcPr>
          <w:p w14:paraId="659EE412" w14:textId="244ECF3F" w:rsidR="00A06425" w:rsidRPr="00A06425" w:rsidRDefault="009817EB" w:rsidP="004D086F">
            <w:pPr>
              <w:jc w:val="center"/>
              <w:rPr>
                <w:rFonts w:asciiTheme="minorHAnsi" w:hAnsiTheme="minorHAnsi" w:cstheme="minorHAnsi"/>
                <w:sz w:val="22"/>
                <w:szCs w:val="22"/>
              </w:rPr>
            </w:pPr>
            <w:r>
              <w:t>4. Koszty – uwaga ogólna</w:t>
            </w:r>
          </w:p>
        </w:tc>
        <w:tc>
          <w:tcPr>
            <w:tcW w:w="4678" w:type="dxa"/>
          </w:tcPr>
          <w:p w14:paraId="3582A9AD" w14:textId="0C9BE904" w:rsidR="008F2FC2" w:rsidRDefault="003B28DE" w:rsidP="008F2FC2">
            <w:pPr>
              <w:pStyle w:val="Dane1"/>
              <w:numPr>
                <w:ilvl w:val="0"/>
                <w:numId w:val="2"/>
              </w:numPr>
              <w:rPr>
                <w:lang w:val="pl-PL"/>
              </w:rPr>
            </w:pPr>
            <w:r>
              <w:rPr>
                <w:lang w:val="pl-PL"/>
              </w:rPr>
              <w:t>N</w:t>
            </w:r>
            <w:r w:rsidR="008F2FC2">
              <w:rPr>
                <w:lang w:val="pl-PL"/>
              </w:rPr>
              <w:t xml:space="preserve">iedoszacowanie kosztów realizacji </w:t>
            </w:r>
            <w:r w:rsidR="009817EB">
              <w:rPr>
                <w:lang w:val="pl-PL"/>
              </w:rPr>
              <w:t>projektu</w:t>
            </w:r>
            <w:r>
              <w:rPr>
                <w:lang w:val="pl-PL"/>
              </w:rPr>
              <w:t xml:space="preserve"> dla budżetu państwa.</w:t>
            </w:r>
          </w:p>
          <w:p w14:paraId="70B42757" w14:textId="5414AAED" w:rsidR="008F2FC2" w:rsidRDefault="003B28DE" w:rsidP="008F2FC2">
            <w:pPr>
              <w:pStyle w:val="Dane1"/>
              <w:numPr>
                <w:ilvl w:val="0"/>
                <w:numId w:val="2"/>
              </w:numPr>
              <w:rPr>
                <w:lang w:val="pl-PL"/>
              </w:rPr>
            </w:pPr>
            <w:r>
              <w:rPr>
                <w:lang w:val="pl-PL"/>
              </w:rPr>
              <w:t>N</w:t>
            </w:r>
            <w:r w:rsidR="008F2FC2">
              <w:rPr>
                <w:lang w:val="pl-PL"/>
              </w:rPr>
              <w:t>ieokreślone zasady</w:t>
            </w:r>
            <w:r w:rsidR="004C6E46">
              <w:rPr>
                <w:lang w:val="pl-PL"/>
              </w:rPr>
              <w:t xml:space="preserve"> </w:t>
            </w:r>
            <w:r w:rsidR="008F2FC2">
              <w:rPr>
                <w:lang w:val="pl-PL"/>
              </w:rPr>
              <w:t>współfinansowania projek</w:t>
            </w:r>
            <w:r w:rsidR="009817EB">
              <w:rPr>
                <w:lang w:val="pl-PL"/>
              </w:rPr>
              <w:t xml:space="preserve">tu </w:t>
            </w:r>
            <w:r w:rsidR="004C6E46">
              <w:rPr>
                <w:lang w:val="pl-PL"/>
              </w:rPr>
              <w:t>przez samorząd adwokacki</w:t>
            </w:r>
            <w:r>
              <w:rPr>
                <w:lang w:val="pl-PL"/>
              </w:rPr>
              <w:t>.</w:t>
            </w:r>
          </w:p>
          <w:p w14:paraId="4A56181C" w14:textId="45A807B9" w:rsidR="008F2FC2" w:rsidRDefault="003B28DE" w:rsidP="008F2FC2">
            <w:pPr>
              <w:pStyle w:val="Dane1"/>
              <w:numPr>
                <w:ilvl w:val="0"/>
                <w:numId w:val="2"/>
              </w:numPr>
              <w:rPr>
                <w:lang w:val="pl-PL"/>
              </w:rPr>
            </w:pPr>
            <w:r>
              <w:rPr>
                <w:lang w:val="pl-PL"/>
              </w:rPr>
              <w:t>B</w:t>
            </w:r>
            <w:r w:rsidR="008F2FC2">
              <w:rPr>
                <w:lang w:val="pl-PL"/>
              </w:rPr>
              <w:t>rak jakiejkolwiek prognozy kosztów utrzymania system</w:t>
            </w:r>
            <w:r w:rsidR="009817EB">
              <w:rPr>
                <w:lang w:val="pl-PL"/>
              </w:rPr>
              <w:t>u</w:t>
            </w:r>
            <w:r w:rsidR="008F2FC2">
              <w:rPr>
                <w:lang w:val="pl-PL"/>
              </w:rPr>
              <w:t xml:space="preserve"> przez budżet państwa po ustaniu finansowania ze środków unijnych</w:t>
            </w:r>
            <w:r w:rsidR="004C6E46">
              <w:rPr>
                <w:lang w:val="pl-PL"/>
              </w:rPr>
              <w:t>.</w:t>
            </w:r>
          </w:p>
          <w:p w14:paraId="1BA06660" w14:textId="77777777" w:rsidR="00A06425" w:rsidRPr="00A06425" w:rsidRDefault="00A06425" w:rsidP="004D086F">
            <w:pPr>
              <w:jc w:val="center"/>
              <w:rPr>
                <w:rFonts w:asciiTheme="minorHAnsi" w:hAnsiTheme="minorHAnsi" w:cstheme="minorHAnsi"/>
                <w:sz w:val="22"/>
                <w:szCs w:val="22"/>
              </w:rPr>
            </w:pPr>
          </w:p>
        </w:tc>
        <w:tc>
          <w:tcPr>
            <w:tcW w:w="5812" w:type="dxa"/>
          </w:tcPr>
          <w:p w14:paraId="11332892" w14:textId="4F1D3BAA" w:rsidR="00902459" w:rsidRDefault="00902459" w:rsidP="00902459">
            <w:pPr>
              <w:pStyle w:val="Akapitzlist"/>
              <w:ind w:left="1080"/>
              <w:jc w:val="both"/>
              <w:rPr>
                <w:rFonts w:ascii="Arial" w:hAnsi="Arial" w:cs="Arial"/>
              </w:rPr>
            </w:pPr>
            <w:r>
              <w:rPr>
                <w:rFonts w:ascii="Arial" w:hAnsi="Arial" w:cs="Arial"/>
              </w:rPr>
              <w:t>a) W</w:t>
            </w:r>
            <w:r w:rsidRPr="00105E11">
              <w:rPr>
                <w:rFonts w:ascii="Arial" w:hAnsi="Arial" w:cs="Arial"/>
              </w:rPr>
              <w:t xml:space="preserve"> celu wyeliminowania ryzyka niedoszacowania kosztów i jego potencjalnego wpływu na budżet państwa, Wnioskodawca deklaruje, że ewentualne nadwyżki kosztów ponad wartość zatwierdzonego budżetu projektu (np. wynikające ze wzrostu cen usług IT ponad przewidzianą rezerwę 500 000 zł</w:t>
            </w:r>
            <w:r>
              <w:rPr>
                <w:rFonts w:ascii="Arial" w:hAnsi="Arial" w:cs="Arial"/>
              </w:rPr>
              <w:t xml:space="preserve"> – zgodnie z katalogiem kosztów kwalifikowalnych</w:t>
            </w:r>
            <w:r w:rsidRPr="00105E11">
              <w:rPr>
                <w:rFonts w:ascii="Arial" w:hAnsi="Arial" w:cs="Arial"/>
              </w:rPr>
              <w:t>) zostaną pokryte ze środków własnych NRA,</w:t>
            </w:r>
            <w:r>
              <w:rPr>
                <w:rFonts w:ascii="Arial" w:hAnsi="Arial" w:cs="Arial"/>
              </w:rPr>
              <w:t xml:space="preserve"> pochodzących ze składek członkowskich, </w:t>
            </w:r>
            <w:r w:rsidRPr="00105E11">
              <w:rPr>
                <w:rFonts w:ascii="Arial" w:hAnsi="Arial" w:cs="Arial"/>
              </w:rPr>
              <w:t xml:space="preserve">bez konieczności ubiegania się o zwiększenie wkładu krajowego z budżetu państwa. </w:t>
            </w:r>
            <w:r>
              <w:rPr>
                <w:rFonts w:ascii="Arial" w:hAnsi="Arial" w:cs="Arial"/>
              </w:rPr>
              <w:t>NRA posiada doświadczenie</w:t>
            </w:r>
            <w:r w:rsidRPr="00105E11">
              <w:rPr>
                <w:rFonts w:ascii="Arial" w:hAnsi="Arial" w:cs="Arial"/>
              </w:rPr>
              <w:t xml:space="preserve"> w zarządzaniu budżetem projektowym oraz przeprowadz</w:t>
            </w:r>
            <w:r>
              <w:rPr>
                <w:rFonts w:ascii="Arial" w:hAnsi="Arial" w:cs="Arial"/>
              </w:rPr>
              <w:t>ił</w:t>
            </w:r>
            <w:r w:rsidRPr="00105E11">
              <w:rPr>
                <w:rFonts w:ascii="Arial" w:hAnsi="Arial" w:cs="Arial"/>
              </w:rPr>
              <w:t xml:space="preserve"> przed złożeniem wniosku rozeznanie rynkowe cen i </w:t>
            </w:r>
            <w:proofErr w:type="gramStart"/>
            <w:r w:rsidRPr="00105E11">
              <w:rPr>
                <w:rFonts w:ascii="Arial" w:hAnsi="Arial" w:cs="Arial"/>
              </w:rPr>
              <w:t>kosztów</w:t>
            </w:r>
            <w:proofErr w:type="gramEnd"/>
            <w:r>
              <w:rPr>
                <w:rFonts w:ascii="Arial" w:hAnsi="Arial" w:cs="Arial"/>
              </w:rPr>
              <w:t xml:space="preserve"> aby oszacować precyzyjnie budżet.</w:t>
            </w:r>
            <w:r w:rsidRPr="005D09B7">
              <w:t xml:space="preserve"> </w:t>
            </w:r>
            <w:proofErr w:type="gramStart"/>
            <w:r w:rsidRPr="005D09B7">
              <w:rPr>
                <w:rFonts w:ascii="Arial" w:hAnsi="Arial" w:cs="Arial"/>
              </w:rPr>
              <w:t>NRA,</w:t>
            </w:r>
            <w:proofErr w:type="gramEnd"/>
            <w:r w:rsidRPr="005D09B7">
              <w:rPr>
                <w:rFonts w:ascii="Arial" w:hAnsi="Arial" w:cs="Arial"/>
              </w:rPr>
              <w:t xml:space="preserve"> jako organ uchwałodawczy samorządu, dysponuje pełną kompetencją do zabezpieczenia i – w razie potrzeby – zwiększenia tych środków w kolejnych latach budżetowych samorządu, co stanowi trwałą i przewidywalną podstawę finansowania utrzymania systemu, niezależną od budżetu państwa.</w:t>
            </w:r>
            <w:r>
              <w:rPr>
                <w:rFonts w:ascii="Arial" w:hAnsi="Arial" w:cs="Arial"/>
              </w:rPr>
              <w:t xml:space="preserve"> </w:t>
            </w:r>
          </w:p>
          <w:p w14:paraId="72A82C19" w14:textId="77777777" w:rsidR="00902459" w:rsidRDefault="00902459" w:rsidP="00902459">
            <w:pPr>
              <w:pStyle w:val="Akapitzlist"/>
              <w:ind w:left="1080"/>
              <w:jc w:val="both"/>
              <w:rPr>
                <w:rFonts w:ascii="Arial" w:hAnsi="Arial" w:cs="Arial"/>
              </w:rPr>
            </w:pPr>
            <w:r>
              <w:rPr>
                <w:rFonts w:ascii="Arial" w:hAnsi="Arial" w:cs="Arial"/>
              </w:rPr>
              <w:t>b)</w:t>
            </w:r>
            <w:r w:rsidRPr="00156C8D">
              <w:t xml:space="preserve"> </w:t>
            </w:r>
            <w:r w:rsidRPr="00156C8D">
              <w:rPr>
                <w:rFonts w:ascii="Arial" w:hAnsi="Arial" w:cs="Arial"/>
              </w:rPr>
              <w:t xml:space="preserve">Projekt DELICT realizowany jest w ramach Działania 2.1 FERC, w którym – zgodnie z § 4 ust. 1 Regulaminu wyboru projektów – maksymalne dofinansowanie wynosi 100% wydatków kwalifikowalnych projektu (79,71% </w:t>
            </w:r>
            <w:r w:rsidRPr="00156C8D">
              <w:rPr>
                <w:rFonts w:ascii="Arial" w:hAnsi="Arial" w:cs="Arial"/>
              </w:rPr>
              <w:lastRenderedPageBreak/>
              <w:t>ze środków UE oraz 20,29% ze środków budżetu państwa jako współfinansowanie krajowe</w:t>
            </w:r>
            <w:r>
              <w:rPr>
                <w:rFonts w:ascii="Arial" w:hAnsi="Arial" w:cs="Arial"/>
              </w:rPr>
              <w:t xml:space="preserve"> – cz.27 - Informatyzacja</w:t>
            </w:r>
            <w:r w:rsidRPr="00156C8D">
              <w:rPr>
                <w:rFonts w:ascii="Arial" w:hAnsi="Arial" w:cs="Arial"/>
              </w:rPr>
              <w:t>). W projekcie potwierdzono brak przesłanek pomocy publicznej w rozumieniu art. 107 ust. 1 TFUE, w związku z czym Wnioskodawca (Naczelna Rada Adwokacka) nie wnosi własnego wkładu finansowego na etapie realizacji projektu – całość kosztów kwalifikowalnych pokrywana jest wyłącznie z tych dwóch źródeł, w ustalonej proporcji 79,71%/20,29%.</w:t>
            </w:r>
          </w:p>
          <w:p w14:paraId="38B0AABA" w14:textId="77777777" w:rsidR="00902459" w:rsidRDefault="00902459" w:rsidP="00902459">
            <w:pPr>
              <w:pStyle w:val="Akapitzlist"/>
              <w:ind w:left="1080"/>
              <w:jc w:val="both"/>
              <w:rPr>
                <w:rFonts w:ascii="Arial" w:hAnsi="Arial" w:cs="Arial"/>
              </w:rPr>
            </w:pPr>
            <w:r>
              <w:rPr>
                <w:rFonts w:ascii="Arial" w:hAnsi="Arial" w:cs="Arial"/>
              </w:rPr>
              <w:t>c)</w:t>
            </w:r>
            <w:r w:rsidRPr="00CD2126">
              <w:t xml:space="preserve"> </w:t>
            </w:r>
            <w:r w:rsidRPr="00CD2126">
              <w:rPr>
                <w:rFonts w:ascii="Arial" w:hAnsi="Arial" w:cs="Arial"/>
              </w:rPr>
              <w:t>Wnioskodawca deklaruje, że po zakończeniu okresu finansowania ze środków unijnych oraz w całym okresie trwałości projektu, koszty utrzymania systemu DELICT (w tym opieka serwisowa, wsparcie techniczne, dostosowania do zmian prawnych oraz ewentualny rozwój funkcjonalności) będą pokrywane wyłącznie ze środków własnych Naczelnej Rady Adwokackiej, bez obciążenia budżetu państwa. W związku z tym prognoza kosztów utrzymania systemu nie generuje żadnych zobowiązań finansowych po stronie budżetu państwa – zarówno w scenariuszu bazowym, jak i w przypadku ewentualnego wzrostu kosztów utrzymania ponad przyjęte założenia, których pokrycie NRA zabezpiecza z własnych środków w ramach</w:t>
            </w:r>
            <w:r>
              <w:rPr>
                <w:rFonts w:ascii="Arial" w:hAnsi="Arial" w:cs="Arial"/>
              </w:rPr>
              <w:t xml:space="preserve"> składek członkowskich</w:t>
            </w:r>
          </w:p>
          <w:p w14:paraId="73843090" w14:textId="772B87C3" w:rsidR="00E81932" w:rsidRPr="00A06425" w:rsidRDefault="006218BE" w:rsidP="004D086F">
            <w:pPr>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9" w:type="dxa"/>
          </w:tcPr>
          <w:p w14:paraId="3147ED4A" w14:textId="3DF063F6" w:rsidR="00A06425" w:rsidRPr="00A06425" w:rsidRDefault="00BC0513" w:rsidP="004D086F">
            <w:pPr>
              <w:jc w:val="center"/>
              <w:rPr>
                <w:rFonts w:asciiTheme="minorHAnsi" w:hAnsiTheme="minorHAnsi" w:cstheme="minorHAnsi"/>
                <w:sz w:val="22"/>
                <w:szCs w:val="22"/>
              </w:rPr>
            </w:pPr>
            <w:r>
              <w:rPr>
                <w:rFonts w:asciiTheme="minorHAnsi" w:hAnsiTheme="minorHAnsi" w:cstheme="minorHAnsi"/>
                <w:sz w:val="22"/>
                <w:szCs w:val="22"/>
              </w:rPr>
              <w:lastRenderedPageBreak/>
              <w:t xml:space="preserve">Ze względu na brak możliwości dodania opisu </w:t>
            </w:r>
            <w:r w:rsidR="00C3459E">
              <w:rPr>
                <w:rFonts w:asciiTheme="minorHAnsi" w:hAnsiTheme="minorHAnsi" w:cstheme="minorHAnsi"/>
                <w:sz w:val="22"/>
                <w:szCs w:val="22"/>
              </w:rPr>
              <w:t xml:space="preserve">w części budżetowej szczegółowo odnosimy się do uwag w piśmie przewodnim </w:t>
            </w:r>
            <w:proofErr w:type="gramStart"/>
            <w:r w:rsidR="00C3459E">
              <w:rPr>
                <w:rFonts w:asciiTheme="minorHAnsi" w:hAnsiTheme="minorHAnsi" w:cstheme="minorHAnsi"/>
                <w:sz w:val="22"/>
                <w:szCs w:val="22"/>
              </w:rPr>
              <w:t>oraz  w</w:t>
            </w:r>
            <w:proofErr w:type="gramEnd"/>
            <w:r w:rsidR="00C3459E">
              <w:rPr>
                <w:rFonts w:asciiTheme="minorHAnsi" w:hAnsiTheme="minorHAnsi" w:cstheme="minorHAnsi"/>
                <w:sz w:val="22"/>
                <w:szCs w:val="22"/>
              </w:rPr>
              <w:t xml:space="preserve"> opisie </w:t>
            </w:r>
            <w:proofErr w:type="spellStart"/>
            <w:r w:rsidR="00C3459E">
              <w:rPr>
                <w:rFonts w:asciiTheme="minorHAnsi" w:hAnsiTheme="minorHAnsi" w:cstheme="minorHAnsi"/>
                <w:sz w:val="22"/>
                <w:szCs w:val="22"/>
              </w:rPr>
              <w:t>ryzyk</w:t>
            </w:r>
            <w:proofErr w:type="spellEnd"/>
            <w:r w:rsidR="00C3459E">
              <w:rPr>
                <w:rFonts w:asciiTheme="minorHAnsi" w:hAnsiTheme="minorHAnsi" w:cstheme="minorHAnsi"/>
                <w:sz w:val="22"/>
                <w:szCs w:val="22"/>
              </w:rPr>
              <w:t>.</w:t>
            </w:r>
          </w:p>
        </w:tc>
      </w:tr>
    </w:tbl>
    <w:p w14:paraId="035B1F9E" w14:textId="77777777" w:rsidR="00C64B1B" w:rsidRDefault="00C64B1B" w:rsidP="00C64B1B">
      <w:pPr>
        <w:jc w:val="center"/>
      </w:pPr>
    </w:p>
    <w:sectPr w:rsidR="00C64B1B" w:rsidSect="00A0642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D34C9"/>
    <w:multiLevelType w:val="hybridMultilevel"/>
    <w:tmpl w:val="65E43BC0"/>
    <w:lvl w:ilvl="0" w:tplc="BAA867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2C97D33"/>
    <w:multiLevelType w:val="hybridMultilevel"/>
    <w:tmpl w:val="90EAC3A8"/>
    <w:lvl w:ilvl="0" w:tplc="FFFFFFFF">
      <w:start w:val="1"/>
      <w:numFmt w:val="decimal"/>
      <w:lvlText w:val="%1)"/>
      <w:lvlJc w:val="left"/>
      <w:pPr>
        <w:ind w:left="720" w:hanging="360"/>
      </w:pPr>
      <w:rPr>
        <w:rFonts w:ascii="Lato" w:eastAsia="Times New Roman" w:hAnsi="Lato" w:cstheme="minorBidi"/>
        <w:b/>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327366857">
    <w:abstractNumId w:val="1"/>
  </w:num>
  <w:num w:numId="2" w16cid:durableId="2067414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34258"/>
    <w:rsid w:val="00140BE8"/>
    <w:rsid w:val="0019648E"/>
    <w:rsid w:val="002715B2"/>
    <w:rsid w:val="003124D1"/>
    <w:rsid w:val="00386361"/>
    <w:rsid w:val="003B0AF7"/>
    <w:rsid w:val="003B28DE"/>
    <w:rsid w:val="003B4105"/>
    <w:rsid w:val="004B685D"/>
    <w:rsid w:val="004C6E46"/>
    <w:rsid w:val="004D086F"/>
    <w:rsid w:val="005058AB"/>
    <w:rsid w:val="005F6527"/>
    <w:rsid w:val="006218BE"/>
    <w:rsid w:val="006705EC"/>
    <w:rsid w:val="006E16E9"/>
    <w:rsid w:val="00787967"/>
    <w:rsid w:val="00807385"/>
    <w:rsid w:val="008F23AC"/>
    <w:rsid w:val="008F2FC2"/>
    <w:rsid w:val="00902459"/>
    <w:rsid w:val="00944932"/>
    <w:rsid w:val="009817EB"/>
    <w:rsid w:val="009E5FDB"/>
    <w:rsid w:val="00A06425"/>
    <w:rsid w:val="00A9099F"/>
    <w:rsid w:val="00AC7796"/>
    <w:rsid w:val="00B871B6"/>
    <w:rsid w:val="00BC0513"/>
    <w:rsid w:val="00C3459E"/>
    <w:rsid w:val="00C64B1B"/>
    <w:rsid w:val="00CD5EB0"/>
    <w:rsid w:val="00E05DDA"/>
    <w:rsid w:val="00E14C33"/>
    <w:rsid w:val="00E81932"/>
    <w:rsid w:val="00F369D9"/>
    <w:rsid w:val="00FE7B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9864C"/>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character" w:styleId="Hipercze">
    <w:name w:val="Hyperlink"/>
    <w:basedOn w:val="Domylnaczcionkaakapitu"/>
    <w:uiPriority w:val="99"/>
    <w:unhideWhenUsed/>
    <w:rsid w:val="008F2FC2"/>
    <w:rPr>
      <w:color w:val="0563C1" w:themeColor="hyperlink"/>
      <w:u w:val="single"/>
    </w:rPr>
  </w:style>
  <w:style w:type="paragraph" w:customStyle="1" w:styleId="Dane1">
    <w:name w:val="Dane1"/>
    <w:basedOn w:val="Normalny"/>
    <w:link w:val="Dane1Znak"/>
    <w:qFormat/>
    <w:rsid w:val="008F2FC2"/>
    <w:pPr>
      <w:spacing w:line="276" w:lineRule="auto"/>
    </w:pPr>
    <w:rPr>
      <w:rFonts w:ascii="Lato" w:eastAsiaTheme="minorHAnsi" w:hAnsi="Lato" w:cstheme="minorBidi"/>
      <w:szCs w:val="22"/>
      <w:lang w:val="en-US" w:eastAsia="en-US"/>
    </w:rPr>
  </w:style>
  <w:style w:type="character" w:customStyle="1" w:styleId="Dane1Znak">
    <w:name w:val="Dane1 Znak"/>
    <w:basedOn w:val="Domylnaczcionkaakapitu"/>
    <w:link w:val="Dane1"/>
    <w:rsid w:val="008F2FC2"/>
    <w:rPr>
      <w:rFonts w:ascii="Lato" w:eastAsiaTheme="minorHAnsi" w:hAnsi="Lato" w:cstheme="minorBidi"/>
      <w:sz w:val="24"/>
      <w:szCs w:val="22"/>
      <w:lang w:val="en-US" w:eastAsia="en-US"/>
    </w:rPr>
  </w:style>
  <w:style w:type="paragraph" w:styleId="Akapitzlist">
    <w:name w:val="List Paragraph"/>
    <w:basedOn w:val="Normalny"/>
    <w:uiPriority w:val="34"/>
    <w:qFormat/>
    <w:rsid w:val="00902459"/>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434</Words>
  <Characters>2608</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Aleksandra Walendziak</cp:lastModifiedBy>
  <cp:revision>16</cp:revision>
  <dcterms:created xsi:type="dcterms:W3CDTF">2026-07-21T10:21:00Z</dcterms:created>
  <dcterms:modified xsi:type="dcterms:W3CDTF">2026-07-21T16:13:00Z</dcterms:modified>
</cp:coreProperties>
</file>